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FB" w:rsidRPr="005A14FB" w:rsidRDefault="005A14FB" w:rsidP="005A14FB">
      <w:pPr>
        <w:rPr>
          <w:rStyle w:val="a9"/>
          <w:rFonts w:hint="eastAsia"/>
        </w:rPr>
      </w:pPr>
      <w:r>
        <w:rPr>
          <w:rStyle w:val="a9"/>
          <w:rFonts w:hint="eastAsia"/>
        </w:rPr>
        <w:t>附件</w:t>
      </w:r>
      <w:r>
        <w:rPr>
          <w:rStyle w:val="a9"/>
          <w:rFonts w:hint="eastAsia"/>
        </w:rPr>
        <w:t>1</w:t>
      </w:r>
    </w:p>
    <w:p w:rsidR="001B57E5" w:rsidRPr="00675A4B" w:rsidRDefault="001B57E5" w:rsidP="001B57E5">
      <w:pPr>
        <w:pStyle w:val="a3"/>
      </w:pPr>
      <w:r>
        <w:rPr>
          <w:rFonts w:hint="eastAsia"/>
        </w:rPr>
        <w:t>黄山学院方凳采购</w:t>
      </w:r>
      <w:r w:rsidR="004F63E3">
        <w:rPr>
          <w:rFonts w:hint="eastAsia"/>
        </w:rPr>
        <w:t>报价</w:t>
      </w:r>
      <w:r w:rsidR="00E15188">
        <w:rPr>
          <w:rFonts w:hint="eastAsia"/>
        </w:rPr>
        <w:t>清</w:t>
      </w:r>
      <w:bookmarkStart w:id="0" w:name="_GoBack"/>
      <w:bookmarkEnd w:id="0"/>
      <w:r>
        <w:rPr>
          <w:rFonts w:hint="eastAsia"/>
        </w:rPr>
        <w:t>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98"/>
        <w:gridCol w:w="1976"/>
        <w:gridCol w:w="1337"/>
        <w:gridCol w:w="1665"/>
        <w:gridCol w:w="1625"/>
      </w:tblGrid>
      <w:tr w:rsidR="001B57E5" w:rsidRPr="00675A4B" w:rsidTr="00477EA1">
        <w:trPr>
          <w:trHeight w:val="454"/>
          <w:jc w:val="center"/>
        </w:trPr>
        <w:tc>
          <w:tcPr>
            <w:tcW w:w="1008"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名称</w:t>
            </w:r>
          </w:p>
        </w:tc>
        <w:tc>
          <w:tcPr>
            <w:tcW w:w="1080"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数量</w:t>
            </w:r>
          </w:p>
        </w:tc>
        <w:tc>
          <w:tcPr>
            <w:tcW w:w="2172"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规格型号</w:t>
            </w:r>
          </w:p>
        </w:tc>
        <w:tc>
          <w:tcPr>
            <w:tcW w:w="1420"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单价（元）</w:t>
            </w:r>
          </w:p>
        </w:tc>
        <w:tc>
          <w:tcPr>
            <w:tcW w:w="1808"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总金额（元）</w:t>
            </w:r>
          </w:p>
        </w:tc>
        <w:tc>
          <w:tcPr>
            <w:tcW w:w="1800" w:type="dxa"/>
            <w:shd w:val="clear" w:color="auto" w:fill="auto"/>
            <w:vAlign w:val="center"/>
          </w:tcPr>
          <w:p w:rsidR="001B57E5" w:rsidRPr="00675A4B" w:rsidRDefault="001B57E5" w:rsidP="00477EA1">
            <w:pPr>
              <w:spacing w:line="312" w:lineRule="auto"/>
              <w:jc w:val="center"/>
              <w:rPr>
                <w:noProof w:val="0"/>
                <w:sz w:val="22"/>
              </w:rPr>
            </w:pPr>
            <w:r w:rsidRPr="00675A4B">
              <w:rPr>
                <w:rFonts w:hint="eastAsia"/>
                <w:noProof w:val="0"/>
                <w:sz w:val="22"/>
              </w:rPr>
              <w:t>备注</w:t>
            </w:r>
          </w:p>
        </w:tc>
      </w:tr>
      <w:tr w:rsidR="001B57E5" w:rsidRPr="00675A4B" w:rsidTr="00477EA1">
        <w:trPr>
          <w:trHeight w:val="576"/>
          <w:jc w:val="center"/>
        </w:trPr>
        <w:tc>
          <w:tcPr>
            <w:tcW w:w="1008" w:type="dxa"/>
            <w:shd w:val="clear" w:color="auto" w:fill="auto"/>
            <w:vAlign w:val="center"/>
          </w:tcPr>
          <w:p w:rsidR="001B57E5" w:rsidRPr="00675A4B" w:rsidRDefault="001B57E5" w:rsidP="00477EA1">
            <w:pPr>
              <w:spacing w:line="312" w:lineRule="auto"/>
              <w:rPr>
                <w:noProof w:val="0"/>
                <w:sz w:val="22"/>
              </w:rPr>
            </w:pPr>
            <w:r w:rsidRPr="00675A4B">
              <w:rPr>
                <w:rFonts w:hint="eastAsia"/>
                <w:noProof w:val="0"/>
                <w:sz w:val="22"/>
              </w:rPr>
              <w:t>方凳</w:t>
            </w:r>
          </w:p>
        </w:tc>
        <w:tc>
          <w:tcPr>
            <w:tcW w:w="1080" w:type="dxa"/>
            <w:shd w:val="clear" w:color="auto" w:fill="auto"/>
            <w:vAlign w:val="center"/>
          </w:tcPr>
          <w:p w:rsidR="001B57E5" w:rsidRPr="00675A4B" w:rsidRDefault="00DD4342" w:rsidP="00477EA1">
            <w:pPr>
              <w:spacing w:line="312" w:lineRule="auto"/>
              <w:rPr>
                <w:noProof w:val="0"/>
                <w:sz w:val="22"/>
              </w:rPr>
            </w:pPr>
            <w:r>
              <w:rPr>
                <w:rFonts w:hint="eastAsia"/>
                <w:noProof w:val="0"/>
                <w:sz w:val="22"/>
              </w:rPr>
              <w:t>6</w:t>
            </w:r>
            <w:r w:rsidR="003C568B">
              <w:rPr>
                <w:rFonts w:hint="eastAsia"/>
                <w:noProof w:val="0"/>
                <w:sz w:val="22"/>
              </w:rPr>
              <w:t>00</w:t>
            </w:r>
          </w:p>
        </w:tc>
        <w:tc>
          <w:tcPr>
            <w:tcW w:w="2172" w:type="dxa"/>
            <w:shd w:val="clear" w:color="auto" w:fill="auto"/>
            <w:vAlign w:val="center"/>
          </w:tcPr>
          <w:p w:rsidR="001B57E5" w:rsidRPr="00675A4B" w:rsidRDefault="001B57E5" w:rsidP="00477EA1">
            <w:pPr>
              <w:spacing w:line="312" w:lineRule="auto"/>
              <w:rPr>
                <w:noProof w:val="0"/>
                <w:sz w:val="22"/>
              </w:rPr>
            </w:pPr>
            <w:r w:rsidRPr="00675A4B">
              <w:rPr>
                <w:rFonts w:hint="eastAsia"/>
                <w:noProof w:val="0"/>
                <w:sz w:val="22"/>
              </w:rPr>
              <w:t>340</w:t>
            </w:r>
            <w:r w:rsidRPr="00675A4B">
              <w:rPr>
                <w:rFonts w:hint="eastAsia"/>
                <w:noProof w:val="0"/>
                <w:sz w:val="22"/>
              </w:rPr>
              <w:t>×</w:t>
            </w:r>
            <w:r w:rsidRPr="00675A4B">
              <w:rPr>
                <w:rFonts w:hint="eastAsia"/>
                <w:noProof w:val="0"/>
                <w:sz w:val="22"/>
              </w:rPr>
              <w:t>240</w:t>
            </w:r>
            <w:r w:rsidRPr="00675A4B">
              <w:rPr>
                <w:rFonts w:hint="eastAsia"/>
                <w:noProof w:val="0"/>
                <w:sz w:val="22"/>
              </w:rPr>
              <w:t>×</w:t>
            </w:r>
            <w:smartTag w:uri="urn:schemas-microsoft-com:office:smarttags" w:element="chmetcnv">
              <w:smartTagPr>
                <w:attr w:name="TCSC" w:val="0"/>
                <w:attr w:name="NumberType" w:val="1"/>
                <w:attr w:name="Negative" w:val="False"/>
                <w:attr w:name="HasSpace" w:val="False"/>
                <w:attr w:name="SourceValue" w:val="440"/>
                <w:attr w:name="UnitName" w:val="mm"/>
              </w:smartTagPr>
              <w:r w:rsidRPr="00675A4B">
                <w:rPr>
                  <w:rFonts w:hint="eastAsia"/>
                  <w:noProof w:val="0"/>
                  <w:sz w:val="22"/>
                </w:rPr>
                <w:t>440mm</w:t>
              </w:r>
            </w:smartTag>
          </w:p>
        </w:tc>
        <w:tc>
          <w:tcPr>
            <w:tcW w:w="1420" w:type="dxa"/>
            <w:shd w:val="clear" w:color="auto" w:fill="auto"/>
            <w:vAlign w:val="center"/>
          </w:tcPr>
          <w:p w:rsidR="001B57E5" w:rsidRPr="00675A4B" w:rsidRDefault="001B57E5" w:rsidP="00477EA1">
            <w:pPr>
              <w:spacing w:line="312" w:lineRule="auto"/>
              <w:rPr>
                <w:noProof w:val="0"/>
                <w:sz w:val="22"/>
              </w:rPr>
            </w:pPr>
          </w:p>
        </w:tc>
        <w:tc>
          <w:tcPr>
            <w:tcW w:w="1808" w:type="dxa"/>
            <w:shd w:val="clear" w:color="auto" w:fill="auto"/>
            <w:vAlign w:val="center"/>
          </w:tcPr>
          <w:p w:rsidR="001B57E5" w:rsidRPr="00675A4B" w:rsidRDefault="001B57E5" w:rsidP="00477EA1">
            <w:pPr>
              <w:spacing w:line="312" w:lineRule="auto"/>
              <w:rPr>
                <w:noProof w:val="0"/>
                <w:sz w:val="22"/>
              </w:rPr>
            </w:pPr>
          </w:p>
        </w:tc>
        <w:tc>
          <w:tcPr>
            <w:tcW w:w="1800" w:type="dxa"/>
            <w:shd w:val="clear" w:color="auto" w:fill="auto"/>
            <w:vAlign w:val="center"/>
          </w:tcPr>
          <w:p w:rsidR="001B57E5" w:rsidRPr="00675A4B" w:rsidRDefault="001B57E5" w:rsidP="00660D92">
            <w:pPr>
              <w:spacing w:line="312" w:lineRule="auto"/>
              <w:rPr>
                <w:noProof w:val="0"/>
                <w:sz w:val="22"/>
              </w:rPr>
            </w:pPr>
            <w:r w:rsidRPr="00675A4B">
              <w:rPr>
                <w:rFonts w:hint="eastAsia"/>
                <w:noProof w:val="0"/>
                <w:sz w:val="22"/>
              </w:rPr>
              <w:t>须在</w:t>
            </w:r>
            <w:r w:rsidRPr="00675A4B">
              <w:rPr>
                <w:rFonts w:hint="eastAsia"/>
                <w:noProof w:val="0"/>
                <w:sz w:val="22"/>
              </w:rPr>
              <w:t>20</w:t>
            </w:r>
            <w:r w:rsidR="003C568B">
              <w:rPr>
                <w:rFonts w:hint="eastAsia"/>
                <w:noProof w:val="0"/>
                <w:sz w:val="22"/>
              </w:rPr>
              <w:t>2</w:t>
            </w:r>
            <w:r w:rsidR="00660D92">
              <w:rPr>
                <w:rFonts w:hint="eastAsia"/>
                <w:noProof w:val="0"/>
                <w:sz w:val="22"/>
              </w:rPr>
              <w:t>3</w:t>
            </w:r>
            <w:r w:rsidRPr="00675A4B">
              <w:rPr>
                <w:rFonts w:hint="eastAsia"/>
                <w:noProof w:val="0"/>
                <w:sz w:val="22"/>
              </w:rPr>
              <w:t>年</w:t>
            </w:r>
            <w:r w:rsidR="00660D92">
              <w:rPr>
                <w:rFonts w:hint="eastAsia"/>
                <w:noProof w:val="0"/>
                <w:sz w:val="22"/>
              </w:rPr>
              <w:t>6</w:t>
            </w:r>
            <w:r w:rsidRPr="00675A4B">
              <w:rPr>
                <w:rFonts w:hint="eastAsia"/>
                <w:noProof w:val="0"/>
                <w:sz w:val="22"/>
              </w:rPr>
              <w:t>月</w:t>
            </w:r>
            <w:r w:rsidR="00660D92">
              <w:rPr>
                <w:rFonts w:hint="eastAsia"/>
                <w:noProof w:val="0"/>
                <w:sz w:val="22"/>
              </w:rPr>
              <w:t>15</w:t>
            </w:r>
            <w:r w:rsidRPr="00675A4B">
              <w:rPr>
                <w:rFonts w:hint="eastAsia"/>
                <w:noProof w:val="0"/>
                <w:sz w:val="22"/>
              </w:rPr>
              <w:t>日前完成供货</w:t>
            </w:r>
          </w:p>
        </w:tc>
      </w:tr>
      <w:tr w:rsidR="001B57E5" w:rsidRPr="00675A4B" w:rsidTr="00477EA1">
        <w:trPr>
          <w:trHeight w:val="576"/>
          <w:jc w:val="center"/>
        </w:trPr>
        <w:tc>
          <w:tcPr>
            <w:tcW w:w="9288" w:type="dxa"/>
            <w:gridSpan w:val="6"/>
            <w:shd w:val="clear" w:color="auto" w:fill="auto"/>
            <w:vAlign w:val="center"/>
          </w:tcPr>
          <w:p w:rsidR="001B57E5" w:rsidRPr="00675A4B" w:rsidRDefault="001B57E5" w:rsidP="00477EA1">
            <w:pPr>
              <w:spacing w:line="312" w:lineRule="auto"/>
              <w:rPr>
                <w:noProof w:val="0"/>
                <w:sz w:val="22"/>
              </w:rPr>
            </w:pPr>
            <w:r w:rsidRPr="00675A4B">
              <w:rPr>
                <w:rFonts w:hint="eastAsia"/>
                <w:noProof w:val="0"/>
                <w:sz w:val="22"/>
              </w:rPr>
              <w:t>总报价</w:t>
            </w:r>
            <w:r w:rsidRPr="00675A4B">
              <w:rPr>
                <w:rFonts w:hint="eastAsia"/>
                <w:noProof w:val="0"/>
                <w:sz w:val="22"/>
              </w:rPr>
              <w:t>(</w:t>
            </w:r>
            <w:r w:rsidRPr="00675A4B">
              <w:rPr>
                <w:rFonts w:hint="eastAsia"/>
                <w:noProof w:val="0"/>
                <w:sz w:val="22"/>
              </w:rPr>
              <w:t>大写人民币</w:t>
            </w:r>
            <w:r w:rsidRPr="00675A4B">
              <w:rPr>
                <w:rFonts w:hint="eastAsia"/>
                <w:noProof w:val="0"/>
                <w:sz w:val="22"/>
              </w:rPr>
              <w:t>)</w:t>
            </w:r>
            <w:r w:rsidRPr="00675A4B">
              <w:rPr>
                <w:rFonts w:hint="eastAsia"/>
                <w:noProof w:val="0"/>
                <w:sz w:val="22"/>
              </w:rPr>
              <w:t>：</w:t>
            </w:r>
            <w:r w:rsidRPr="00675A4B">
              <w:rPr>
                <w:rFonts w:hint="eastAsia"/>
                <w:noProof w:val="0"/>
                <w:sz w:val="22"/>
              </w:rPr>
              <w:t xml:space="preserve">                                                    </w:t>
            </w:r>
            <w:r w:rsidRPr="00675A4B">
              <w:rPr>
                <w:rFonts w:hint="eastAsia"/>
                <w:noProof w:val="0"/>
                <w:sz w:val="22"/>
              </w:rPr>
              <w:t>￥</w:t>
            </w:r>
            <w:r w:rsidRPr="00675A4B">
              <w:rPr>
                <w:rFonts w:hint="eastAsia"/>
                <w:noProof w:val="0"/>
                <w:sz w:val="22"/>
              </w:rPr>
              <w:t>:</w:t>
            </w:r>
          </w:p>
        </w:tc>
      </w:tr>
    </w:tbl>
    <w:p w:rsidR="001B57E5" w:rsidRDefault="001B57E5" w:rsidP="001B57E5">
      <w:pPr>
        <w:jc w:val="left"/>
        <w:rPr>
          <w:rFonts w:ascii="黑体" w:eastAsia="黑体"/>
          <w:sz w:val="24"/>
        </w:rPr>
      </w:pPr>
    </w:p>
    <w:p w:rsidR="001B57E5" w:rsidRDefault="001B57E5" w:rsidP="001B57E5">
      <w:pPr>
        <w:jc w:val="left"/>
        <w:rPr>
          <w:rFonts w:ascii="黑体" w:eastAsia="黑体"/>
          <w:sz w:val="24"/>
        </w:rPr>
      </w:pPr>
      <w:r>
        <w:rPr>
          <w:rFonts w:ascii="黑体" w:eastAsia="黑体" w:hint="eastAsia"/>
          <w:sz w:val="24"/>
        </w:rPr>
        <w:t>注：</w:t>
      </w:r>
    </w:p>
    <w:p w:rsidR="001B57E5" w:rsidRPr="00675A4B" w:rsidRDefault="001B57E5" w:rsidP="001B57E5">
      <w:pPr>
        <w:jc w:val="left"/>
        <w:rPr>
          <w:rFonts w:ascii="黑体" w:eastAsia="黑体"/>
          <w:sz w:val="24"/>
        </w:rPr>
      </w:pPr>
      <w:r w:rsidRPr="00675A4B">
        <w:rPr>
          <w:rFonts w:ascii="黑体" w:eastAsia="黑体" w:hint="eastAsia"/>
          <w:sz w:val="24"/>
        </w:rPr>
        <w:t>1、方凳的制作要求如下：</w:t>
      </w:r>
    </w:p>
    <w:p w:rsidR="001B57E5" w:rsidRPr="00675A4B" w:rsidRDefault="001B57E5" w:rsidP="001B57E5">
      <w:pPr>
        <w:jc w:val="left"/>
        <w:rPr>
          <w:rFonts w:ascii="黑体" w:eastAsia="黑体"/>
          <w:sz w:val="24"/>
        </w:rPr>
      </w:pPr>
      <w:r w:rsidRPr="00675A4B">
        <w:rPr>
          <w:rFonts w:ascii="黑体" w:eastAsia="黑体" w:hint="eastAsia"/>
          <w:sz w:val="24"/>
        </w:rPr>
        <w:t>（1）钢木结构方凳规格:340×240×440mm；</w:t>
      </w:r>
    </w:p>
    <w:p w:rsidR="001B57E5" w:rsidRPr="00675A4B" w:rsidRDefault="001B57E5" w:rsidP="001B57E5">
      <w:pPr>
        <w:jc w:val="left"/>
        <w:rPr>
          <w:rFonts w:ascii="黑体" w:eastAsia="黑体"/>
          <w:sz w:val="24"/>
        </w:rPr>
      </w:pPr>
      <w:r w:rsidRPr="00675A4B">
        <w:rPr>
          <w:rFonts w:ascii="黑体" w:eastAsia="黑体" w:hint="eastAsia"/>
          <w:sz w:val="24"/>
        </w:rPr>
        <w:t>（2）材质要求：脚钢管Ф32×</w:t>
      </w:r>
      <w:smartTag w:uri="urn:schemas-microsoft-com:office:smarttags" w:element="chmetcnv">
        <w:smartTagPr>
          <w:attr w:name="TCSC" w:val="0"/>
          <w:attr w:name="NumberType" w:val="1"/>
          <w:attr w:name="Negative" w:val="False"/>
          <w:attr w:name="HasSpace" w:val="False"/>
          <w:attr w:name="SourceValue" w:val="1.2"/>
          <w:attr w:name="UnitName" w:val="mm"/>
        </w:smartTagPr>
        <w:r w:rsidRPr="00675A4B">
          <w:rPr>
            <w:rFonts w:ascii="黑体" w:eastAsia="黑体" w:hint="eastAsia"/>
            <w:sz w:val="24"/>
          </w:rPr>
          <w:t>1.2mm</w:t>
        </w:r>
      </w:smartTag>
      <w:r w:rsidRPr="00675A4B">
        <w:rPr>
          <w:rFonts w:ascii="黑体" w:eastAsia="黑体" w:hint="eastAsia"/>
          <w:sz w:val="24"/>
        </w:rPr>
        <w:t>；下档25×25×</w:t>
      </w:r>
      <w:smartTag w:uri="urn:schemas-microsoft-com:office:smarttags" w:element="chmetcnv">
        <w:smartTagPr>
          <w:attr w:name="TCSC" w:val="0"/>
          <w:attr w:name="NumberType" w:val="1"/>
          <w:attr w:name="Negative" w:val="False"/>
          <w:attr w:name="HasSpace" w:val="False"/>
          <w:attr w:name="SourceValue" w:val="1.2"/>
          <w:attr w:name="UnitName" w:val="mm"/>
        </w:smartTagPr>
        <w:r w:rsidRPr="00675A4B">
          <w:rPr>
            <w:rFonts w:ascii="黑体" w:eastAsia="黑体" w:hint="eastAsia"/>
            <w:sz w:val="24"/>
          </w:rPr>
          <w:t>1.2mm</w:t>
        </w:r>
      </w:smartTag>
      <w:r w:rsidRPr="00675A4B">
        <w:rPr>
          <w:rFonts w:ascii="黑体" w:eastAsia="黑体" w:hint="eastAsia"/>
          <w:sz w:val="24"/>
        </w:rPr>
        <w:t>；上档20×20×</w:t>
      </w:r>
      <w:smartTag w:uri="urn:schemas-microsoft-com:office:smarttags" w:element="chmetcnv">
        <w:smartTagPr>
          <w:attr w:name="TCSC" w:val="0"/>
          <w:attr w:name="NumberType" w:val="1"/>
          <w:attr w:name="Negative" w:val="False"/>
          <w:attr w:name="HasSpace" w:val="False"/>
          <w:attr w:name="SourceValue" w:val="1.1"/>
          <w:attr w:name="UnitName" w:val="mm"/>
        </w:smartTagPr>
        <w:r w:rsidRPr="00675A4B">
          <w:rPr>
            <w:rFonts w:ascii="黑体" w:eastAsia="黑体" w:hint="eastAsia"/>
            <w:sz w:val="24"/>
          </w:rPr>
          <w:t>1.1mm</w:t>
        </w:r>
      </w:smartTag>
      <w:r w:rsidRPr="00675A4B">
        <w:rPr>
          <w:rFonts w:ascii="黑体" w:eastAsia="黑体" w:hint="eastAsia"/>
          <w:sz w:val="24"/>
        </w:rPr>
        <w:t>；面板为多层压模板340×240×18mm；</w:t>
      </w:r>
    </w:p>
    <w:p w:rsidR="001B57E5" w:rsidRPr="00675A4B" w:rsidRDefault="001B57E5" w:rsidP="001B57E5">
      <w:pPr>
        <w:jc w:val="left"/>
        <w:rPr>
          <w:rFonts w:ascii="黑体" w:eastAsia="黑体"/>
          <w:sz w:val="24"/>
        </w:rPr>
      </w:pPr>
      <w:r w:rsidRPr="00675A4B">
        <w:rPr>
          <w:rFonts w:ascii="黑体" w:eastAsia="黑体" w:hint="eastAsia"/>
          <w:sz w:val="24"/>
        </w:rPr>
        <w:t>（3）钢管框架要求：</w:t>
      </w:r>
      <w:r w:rsidRPr="00675A4B">
        <w:rPr>
          <w:rFonts w:ascii="黑体" w:eastAsia="黑体"/>
          <w:sz w:val="24"/>
        </w:rPr>
        <w:t>所有金属管件外形的尺寸偏差、管壁厚度偏差和钢板厚度偏差以及金属材料的力学性能指标等质量技术参数，均符合相应的国家标准的规定。金属件材质及缺陷符合国家标准GB/T</w:t>
      </w:r>
      <w:r w:rsidRPr="00675A4B">
        <w:rPr>
          <w:rFonts w:ascii="黑体" w:eastAsia="黑体"/>
          <w:sz w:val="24"/>
        </w:rPr>
        <w:t> </w:t>
      </w:r>
      <w:r w:rsidRPr="00675A4B">
        <w:rPr>
          <w:rFonts w:ascii="黑体" w:eastAsia="黑体"/>
          <w:sz w:val="24"/>
        </w:rPr>
        <w:t>3325-2008《金属家具通用技术条件》的规定</w:t>
      </w:r>
      <w:r w:rsidRPr="00675A4B">
        <w:rPr>
          <w:rFonts w:ascii="黑体" w:eastAsia="黑体" w:hint="eastAsia"/>
          <w:sz w:val="24"/>
        </w:rPr>
        <w:t>，</w:t>
      </w:r>
      <w:r w:rsidRPr="00675A4B">
        <w:rPr>
          <w:rFonts w:ascii="黑体" w:eastAsia="黑体"/>
          <w:sz w:val="24"/>
        </w:rPr>
        <w:t>不出现孔洞、缺口、开裂、尖角、裂缝、腐蚀、离层、氧化皮等影响产品结构强度、外观和安全的材料。</w:t>
      </w:r>
      <w:r w:rsidRPr="00675A4B">
        <w:rPr>
          <w:rFonts w:ascii="黑体" w:eastAsia="黑体" w:hint="eastAsia"/>
          <w:sz w:val="24"/>
        </w:rPr>
        <w:t>焊接点要牢固、光滑，喷漆要均匀，凳子脚套要规则、结实、耐用；</w:t>
      </w:r>
    </w:p>
    <w:p w:rsidR="001B57E5" w:rsidRPr="00675A4B" w:rsidRDefault="001B57E5" w:rsidP="001B57E5">
      <w:pPr>
        <w:jc w:val="left"/>
        <w:rPr>
          <w:rFonts w:ascii="黑体" w:eastAsia="黑体"/>
          <w:sz w:val="24"/>
        </w:rPr>
      </w:pPr>
      <w:r w:rsidRPr="00675A4B">
        <w:rPr>
          <w:rFonts w:ascii="黑体" w:eastAsia="黑体" w:hint="eastAsia"/>
          <w:sz w:val="24"/>
        </w:rPr>
        <w:t>（4）颜色：面板为米黄色，凳腿为烟灰色或米黄色。</w:t>
      </w:r>
    </w:p>
    <w:p w:rsidR="001B57E5" w:rsidRPr="00675A4B" w:rsidRDefault="001B57E5" w:rsidP="001B57E5">
      <w:pPr>
        <w:jc w:val="left"/>
        <w:rPr>
          <w:rFonts w:ascii="黑体" w:eastAsia="黑体"/>
          <w:sz w:val="24"/>
        </w:rPr>
      </w:pPr>
      <w:r w:rsidRPr="00675A4B">
        <w:rPr>
          <w:rFonts w:ascii="黑体" w:eastAsia="黑体" w:hint="eastAsia"/>
          <w:sz w:val="24"/>
        </w:rPr>
        <w:t>2、总报价：含包装费、运输费、税费、人员差旅费、保险费、售后服务、配套辅材等一切费用。</w:t>
      </w:r>
    </w:p>
    <w:p w:rsidR="001B57E5" w:rsidRDefault="001B57E5" w:rsidP="001B57E5">
      <w:pPr>
        <w:jc w:val="left"/>
        <w:rPr>
          <w:rFonts w:ascii="黑体" w:eastAsia="黑体"/>
          <w:sz w:val="24"/>
        </w:rPr>
      </w:pPr>
      <w:r w:rsidRPr="00675A4B">
        <w:rPr>
          <w:rFonts w:ascii="黑体" w:eastAsia="黑体" w:hint="eastAsia"/>
          <w:sz w:val="24"/>
        </w:rPr>
        <w:t>3、质量保证：供货方所提供产品要完全符合国家标准、行业标准，必须是厂家全新的原装合格正品（含原材料、配件等），表面无划伤、无碰撞，不得低于采购方样品的要求。保修期内如产品非因采购方的人为原因而出现的质量问题由供货方方负责包修、包换或包退，并承担修理、调换或退货的实际费用。</w:t>
      </w:r>
    </w:p>
    <w:p w:rsidR="001B57E5" w:rsidRPr="00BB0DBD" w:rsidRDefault="001B57E5" w:rsidP="001B57E5">
      <w:pPr>
        <w:jc w:val="left"/>
        <w:rPr>
          <w:rFonts w:ascii="黑体" w:eastAsia="黑体"/>
          <w:color w:val="000000" w:themeColor="text1"/>
          <w:sz w:val="24"/>
          <w:shd w:val="pct15" w:color="auto" w:fill="FFFFFF"/>
        </w:rPr>
      </w:pPr>
      <w:r>
        <w:rPr>
          <w:rFonts w:ascii="黑体" w:eastAsia="黑体" w:hint="eastAsia"/>
          <w:sz w:val="24"/>
        </w:rPr>
        <w:t>4</w:t>
      </w:r>
      <w:r w:rsidRPr="00675A4B">
        <w:rPr>
          <w:rFonts w:ascii="黑体" w:eastAsia="黑体" w:hint="eastAsia"/>
          <w:sz w:val="24"/>
        </w:rPr>
        <w:t>、</w:t>
      </w:r>
      <w:r w:rsidRPr="00BB0DBD">
        <w:rPr>
          <w:rFonts w:ascii="黑体" w:eastAsia="黑体" w:hint="eastAsia"/>
          <w:color w:val="000000" w:themeColor="text1"/>
          <w:sz w:val="24"/>
          <w:shd w:val="pct15" w:color="auto" w:fill="FFFFFF"/>
        </w:rPr>
        <w:t>投标前，须带方凳样品至现场，中标样品将由采购方留存。</w:t>
      </w:r>
    </w:p>
    <w:p w:rsidR="001B57E5" w:rsidRPr="00675A4B" w:rsidRDefault="001B57E5" w:rsidP="001B57E5">
      <w:pPr>
        <w:jc w:val="left"/>
        <w:rPr>
          <w:rFonts w:ascii="黑体" w:eastAsia="黑体"/>
          <w:sz w:val="24"/>
        </w:rPr>
      </w:pPr>
      <w:r>
        <w:rPr>
          <w:rFonts w:ascii="黑体" w:eastAsia="黑体" w:hint="eastAsia"/>
          <w:sz w:val="24"/>
        </w:rPr>
        <w:t>5</w:t>
      </w:r>
      <w:r w:rsidRPr="00675A4B">
        <w:rPr>
          <w:rFonts w:ascii="黑体" w:eastAsia="黑体" w:hint="eastAsia"/>
          <w:sz w:val="24"/>
        </w:rPr>
        <w:t>、评标时，由评标小组先对样品进行评审，评选出2至4个样品入围，</w:t>
      </w:r>
      <w:r>
        <w:rPr>
          <w:rFonts w:ascii="黑体" w:eastAsia="黑体" w:hint="eastAsia"/>
          <w:sz w:val="24"/>
        </w:rPr>
        <w:t>样品不符合者不得入围，</w:t>
      </w:r>
      <w:r w:rsidRPr="00675A4B">
        <w:rPr>
          <w:rFonts w:ascii="黑体" w:eastAsia="黑体" w:hint="eastAsia"/>
          <w:sz w:val="24"/>
        </w:rPr>
        <w:t>入围的经营单位中符合资质要求且报价最低的为中标单位。</w:t>
      </w:r>
    </w:p>
    <w:p w:rsidR="00DD4342" w:rsidRDefault="00DD4342" w:rsidP="00DD4342"/>
    <w:p w:rsidR="00DD4342" w:rsidRDefault="00DD4342" w:rsidP="00DD4342"/>
    <w:p w:rsidR="00DD4342" w:rsidRPr="00DD4342" w:rsidRDefault="00DD4342" w:rsidP="00DD4342">
      <w:r w:rsidRPr="00DD4342">
        <w:rPr>
          <w:rFonts w:hint="eastAsia"/>
        </w:rPr>
        <w:t>本单位已悉知以上内容，并承诺严格按照上述各项要求进行投标。</w:t>
      </w:r>
    </w:p>
    <w:p w:rsidR="00DD4342" w:rsidRPr="00DD4342" w:rsidRDefault="00DD4342" w:rsidP="00DD4342">
      <w:pPr>
        <w:rPr>
          <w:u w:val="single"/>
        </w:rPr>
      </w:pPr>
      <w:r w:rsidRPr="00DD4342">
        <w:rPr>
          <w:rFonts w:hint="eastAsia"/>
        </w:rPr>
        <w:t>报价单位（盖章）；</w:t>
      </w:r>
    </w:p>
    <w:p w:rsidR="00DD4342" w:rsidRPr="00DD4342" w:rsidRDefault="00DD4342" w:rsidP="00DD4342">
      <w:pPr>
        <w:rPr>
          <w:u w:val="single"/>
        </w:rPr>
      </w:pPr>
      <w:r w:rsidRPr="00DD4342">
        <w:rPr>
          <w:rFonts w:hint="eastAsia"/>
        </w:rPr>
        <w:t>负责人（签字）：</w:t>
      </w:r>
      <w:r w:rsidRPr="00DD4342">
        <w:rPr>
          <w:rFonts w:hint="eastAsia"/>
        </w:rPr>
        <w:t xml:space="preserve">                     </w:t>
      </w:r>
      <w:r w:rsidRPr="00DD4342">
        <w:rPr>
          <w:rFonts w:hint="eastAsia"/>
        </w:rPr>
        <w:t>联系电话：</w:t>
      </w:r>
      <w:r w:rsidRPr="00DD4342">
        <w:rPr>
          <w:rFonts w:hint="eastAsia"/>
        </w:rPr>
        <w:t xml:space="preserve">                   </w:t>
      </w:r>
    </w:p>
    <w:p w:rsidR="00DD4342" w:rsidRPr="00DD4342" w:rsidRDefault="00DD4342" w:rsidP="00DD4342">
      <w:r w:rsidRPr="00DD4342">
        <w:rPr>
          <w:rFonts w:hint="eastAsia"/>
        </w:rPr>
        <w:t>日期：</w:t>
      </w:r>
    </w:p>
    <w:p w:rsidR="0099239D" w:rsidRPr="001B57E5" w:rsidRDefault="0099239D"/>
    <w:sectPr w:rsidR="0099239D" w:rsidRPr="001B57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EE" w:rsidRDefault="004A7AEE" w:rsidP="003C568B">
      <w:r>
        <w:separator/>
      </w:r>
    </w:p>
  </w:endnote>
  <w:endnote w:type="continuationSeparator" w:id="0">
    <w:p w:rsidR="004A7AEE" w:rsidRDefault="004A7AEE" w:rsidP="003C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EE" w:rsidRDefault="004A7AEE" w:rsidP="003C568B">
      <w:r>
        <w:separator/>
      </w:r>
    </w:p>
  </w:footnote>
  <w:footnote w:type="continuationSeparator" w:id="0">
    <w:p w:rsidR="004A7AEE" w:rsidRDefault="004A7AEE" w:rsidP="003C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E5"/>
    <w:rsid w:val="001A38A1"/>
    <w:rsid w:val="001B57E5"/>
    <w:rsid w:val="0030031C"/>
    <w:rsid w:val="003C568B"/>
    <w:rsid w:val="004A7AEE"/>
    <w:rsid w:val="004F63E3"/>
    <w:rsid w:val="005A14FB"/>
    <w:rsid w:val="00660D92"/>
    <w:rsid w:val="008E2C42"/>
    <w:rsid w:val="0099239D"/>
    <w:rsid w:val="009C2AE5"/>
    <w:rsid w:val="009F7C90"/>
    <w:rsid w:val="00BB0DBD"/>
    <w:rsid w:val="00DC74A0"/>
    <w:rsid w:val="00DD4342"/>
    <w:rsid w:val="00E1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E5"/>
    <w:pPr>
      <w:widowControl w:val="0"/>
      <w:jc w:val="both"/>
    </w:pPr>
    <w:rPr>
      <w:rFonts w:ascii="Times New Roman" w:eastAsia="宋体" w:hAnsi="Times New Roman"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B57E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B57E5"/>
    <w:rPr>
      <w:rFonts w:asciiTheme="majorHAnsi" w:eastAsia="宋体" w:hAnsiTheme="majorHAnsi" w:cstheme="majorBidi"/>
      <w:b/>
      <w:bCs/>
      <w:noProof/>
      <w:sz w:val="32"/>
      <w:szCs w:val="32"/>
    </w:rPr>
  </w:style>
  <w:style w:type="paragraph" w:styleId="a4">
    <w:name w:val="header"/>
    <w:basedOn w:val="a"/>
    <w:link w:val="Char0"/>
    <w:uiPriority w:val="99"/>
    <w:unhideWhenUsed/>
    <w:rsid w:val="003C5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568B"/>
    <w:rPr>
      <w:rFonts w:ascii="Times New Roman" w:eastAsia="宋体" w:hAnsi="Times New Roman" w:cs="Times New Roman"/>
      <w:noProof/>
      <w:sz w:val="18"/>
      <w:szCs w:val="18"/>
    </w:rPr>
  </w:style>
  <w:style w:type="paragraph" w:styleId="a5">
    <w:name w:val="footer"/>
    <w:basedOn w:val="a"/>
    <w:link w:val="Char1"/>
    <w:uiPriority w:val="99"/>
    <w:unhideWhenUsed/>
    <w:rsid w:val="003C568B"/>
    <w:pPr>
      <w:tabs>
        <w:tab w:val="center" w:pos="4153"/>
        <w:tab w:val="right" w:pos="8306"/>
      </w:tabs>
      <w:snapToGrid w:val="0"/>
      <w:jc w:val="left"/>
    </w:pPr>
    <w:rPr>
      <w:sz w:val="18"/>
      <w:szCs w:val="18"/>
    </w:rPr>
  </w:style>
  <w:style w:type="character" w:customStyle="1" w:styleId="Char1">
    <w:name w:val="页脚 Char"/>
    <w:basedOn w:val="a0"/>
    <w:link w:val="a5"/>
    <w:uiPriority w:val="99"/>
    <w:rsid w:val="003C568B"/>
    <w:rPr>
      <w:rFonts w:ascii="Times New Roman" w:eastAsia="宋体" w:hAnsi="Times New Roman" w:cs="Times New Roman"/>
      <w:noProof/>
      <w:sz w:val="18"/>
      <w:szCs w:val="18"/>
    </w:rPr>
  </w:style>
  <w:style w:type="character" w:styleId="a6">
    <w:name w:val="Emphasis"/>
    <w:basedOn w:val="a0"/>
    <w:uiPriority w:val="20"/>
    <w:qFormat/>
    <w:rsid w:val="005A14FB"/>
    <w:rPr>
      <w:i/>
      <w:iCs/>
    </w:rPr>
  </w:style>
  <w:style w:type="character" w:styleId="a7">
    <w:name w:val="Subtle Emphasis"/>
    <w:basedOn w:val="a0"/>
    <w:uiPriority w:val="19"/>
    <w:qFormat/>
    <w:rsid w:val="005A14FB"/>
    <w:rPr>
      <w:i/>
      <w:iCs/>
      <w:color w:val="808080" w:themeColor="text1" w:themeTint="7F"/>
    </w:rPr>
  </w:style>
  <w:style w:type="character" w:styleId="a8">
    <w:name w:val="Intense Emphasis"/>
    <w:basedOn w:val="a0"/>
    <w:uiPriority w:val="21"/>
    <w:qFormat/>
    <w:rsid w:val="005A14FB"/>
    <w:rPr>
      <w:b/>
      <w:bCs/>
      <w:i/>
      <w:iCs/>
      <w:color w:val="4F81BD" w:themeColor="accent1"/>
    </w:rPr>
  </w:style>
  <w:style w:type="character" w:styleId="a9">
    <w:name w:val="Strong"/>
    <w:basedOn w:val="a0"/>
    <w:uiPriority w:val="22"/>
    <w:qFormat/>
    <w:rsid w:val="005A14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E5"/>
    <w:pPr>
      <w:widowControl w:val="0"/>
      <w:jc w:val="both"/>
    </w:pPr>
    <w:rPr>
      <w:rFonts w:ascii="Times New Roman" w:eastAsia="宋体" w:hAnsi="Times New Roman" w:cs="Times New Roman"/>
      <w:noProo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B57E5"/>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uiPriority w:val="10"/>
    <w:rsid w:val="001B57E5"/>
    <w:rPr>
      <w:rFonts w:asciiTheme="majorHAnsi" w:eastAsia="宋体" w:hAnsiTheme="majorHAnsi" w:cstheme="majorBidi"/>
      <w:b/>
      <w:bCs/>
      <w:noProof/>
      <w:sz w:val="32"/>
      <w:szCs w:val="32"/>
    </w:rPr>
  </w:style>
  <w:style w:type="paragraph" w:styleId="a4">
    <w:name w:val="header"/>
    <w:basedOn w:val="a"/>
    <w:link w:val="Char0"/>
    <w:uiPriority w:val="99"/>
    <w:unhideWhenUsed/>
    <w:rsid w:val="003C56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C568B"/>
    <w:rPr>
      <w:rFonts w:ascii="Times New Roman" w:eastAsia="宋体" w:hAnsi="Times New Roman" w:cs="Times New Roman"/>
      <w:noProof/>
      <w:sz w:val="18"/>
      <w:szCs w:val="18"/>
    </w:rPr>
  </w:style>
  <w:style w:type="paragraph" w:styleId="a5">
    <w:name w:val="footer"/>
    <w:basedOn w:val="a"/>
    <w:link w:val="Char1"/>
    <w:uiPriority w:val="99"/>
    <w:unhideWhenUsed/>
    <w:rsid w:val="003C568B"/>
    <w:pPr>
      <w:tabs>
        <w:tab w:val="center" w:pos="4153"/>
        <w:tab w:val="right" w:pos="8306"/>
      </w:tabs>
      <w:snapToGrid w:val="0"/>
      <w:jc w:val="left"/>
    </w:pPr>
    <w:rPr>
      <w:sz w:val="18"/>
      <w:szCs w:val="18"/>
    </w:rPr>
  </w:style>
  <w:style w:type="character" w:customStyle="1" w:styleId="Char1">
    <w:name w:val="页脚 Char"/>
    <w:basedOn w:val="a0"/>
    <w:link w:val="a5"/>
    <w:uiPriority w:val="99"/>
    <w:rsid w:val="003C568B"/>
    <w:rPr>
      <w:rFonts w:ascii="Times New Roman" w:eastAsia="宋体" w:hAnsi="Times New Roman" w:cs="Times New Roman"/>
      <w:noProof/>
      <w:sz w:val="18"/>
      <w:szCs w:val="18"/>
    </w:rPr>
  </w:style>
  <w:style w:type="character" w:styleId="a6">
    <w:name w:val="Emphasis"/>
    <w:basedOn w:val="a0"/>
    <w:uiPriority w:val="20"/>
    <w:qFormat/>
    <w:rsid w:val="005A14FB"/>
    <w:rPr>
      <w:i/>
      <w:iCs/>
    </w:rPr>
  </w:style>
  <w:style w:type="character" w:styleId="a7">
    <w:name w:val="Subtle Emphasis"/>
    <w:basedOn w:val="a0"/>
    <w:uiPriority w:val="19"/>
    <w:qFormat/>
    <w:rsid w:val="005A14FB"/>
    <w:rPr>
      <w:i/>
      <w:iCs/>
      <w:color w:val="808080" w:themeColor="text1" w:themeTint="7F"/>
    </w:rPr>
  </w:style>
  <w:style w:type="character" w:styleId="a8">
    <w:name w:val="Intense Emphasis"/>
    <w:basedOn w:val="a0"/>
    <w:uiPriority w:val="21"/>
    <w:qFormat/>
    <w:rsid w:val="005A14FB"/>
    <w:rPr>
      <w:b/>
      <w:bCs/>
      <w:i/>
      <w:iCs/>
      <w:color w:val="4F81BD" w:themeColor="accent1"/>
    </w:rPr>
  </w:style>
  <w:style w:type="character" w:styleId="a9">
    <w:name w:val="Strong"/>
    <w:basedOn w:val="a0"/>
    <w:uiPriority w:val="22"/>
    <w:qFormat/>
    <w:rsid w:val="005A1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sgzx</dc:creator>
  <cp:lastModifiedBy>sgzx</cp:lastModifiedBy>
  <cp:revision>11</cp:revision>
  <dcterms:created xsi:type="dcterms:W3CDTF">2020-06-24T03:07:00Z</dcterms:created>
  <dcterms:modified xsi:type="dcterms:W3CDTF">2023-06-05T07:26:00Z</dcterms:modified>
</cp:coreProperties>
</file>